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880" w:firstLineChars="200"/>
        <w:jc w:val="both"/>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青义镇污水管网完善项目</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1760" w:firstLineChars="400"/>
        <w:jc w:val="both"/>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随机抽取中标人的</w:t>
      </w:r>
      <w:r>
        <w:rPr>
          <w:rFonts w:hint="eastAsia" w:ascii="方正小标宋简体" w:hAnsi="方正小标宋简体" w:eastAsia="方正小标宋简体" w:cs="方正小标宋简体"/>
          <w:b w:val="0"/>
          <w:bCs/>
          <w:sz w:val="44"/>
          <w:szCs w:val="44"/>
          <w:lang w:eastAsia="zh-CN"/>
        </w:rPr>
        <w:t>公告</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1760" w:firstLineChars="400"/>
        <w:jc w:val="both"/>
        <w:textAlignment w:val="auto"/>
        <w:outlineLvl w:val="9"/>
        <w:rPr>
          <w:rFonts w:hint="eastAsia" w:ascii="方正小标宋简体" w:hAnsi="方正小标宋简体" w:eastAsia="方正小标宋简体" w:cs="方正小标宋简体"/>
          <w:b w:val="0"/>
          <w:bCs/>
          <w:sz w:val="44"/>
          <w:szCs w:val="44"/>
          <w:lang w:eastAsia="zh-CN"/>
        </w:rPr>
      </w:pPr>
    </w:p>
    <w:p>
      <w:pPr>
        <w:keepNext w:val="0"/>
        <w:keepLines w:val="0"/>
        <w:pageBreakBefore w:val="0"/>
        <w:kinsoku/>
        <w:wordWrap/>
        <w:overflowPunct/>
        <w:topLinePunct w:val="0"/>
        <w:autoSpaceDE/>
        <w:autoSpaceDN/>
        <w:bidi w:val="0"/>
        <w:spacing w:after="0" w:line="240" w:lineRule="auto"/>
        <w:ind w:left="0" w:leftChars="0" w:right="0" w:rightChars="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各中标候选人</w:t>
      </w:r>
      <w:r>
        <w:rPr>
          <w:rFonts w:hint="eastAsia" w:ascii="仿宋_GB2312" w:hAnsi="仿宋_GB2312" w:eastAsia="仿宋_GB2312" w:cs="仿宋_GB2312"/>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青义镇污水管网完善项目</w:t>
      </w:r>
      <w:r>
        <w:rPr>
          <w:rFonts w:hint="eastAsia" w:ascii="仿宋_GB2312" w:hAnsi="仿宋_GB2312" w:eastAsia="仿宋_GB2312" w:cs="仿宋_GB2312"/>
          <w:bCs/>
          <w:color w:val="000000"/>
          <w:sz w:val="32"/>
          <w:szCs w:val="32"/>
        </w:rPr>
        <w:t>已按法定程序完成公开招标全部过程，经专家评审推荐</w:t>
      </w:r>
      <w:r>
        <w:rPr>
          <w:rFonts w:hint="eastAsia" w:ascii="仿宋_GB2312" w:hAnsi="仿宋_GB2312" w:eastAsia="仿宋_GB2312" w:cs="仿宋_GB2312"/>
          <w:bCs/>
          <w:color w:val="000000"/>
          <w:sz w:val="32"/>
          <w:szCs w:val="32"/>
          <w:lang w:val="en-US" w:eastAsia="zh-CN"/>
        </w:rPr>
        <w:t>27家单位成为</w:t>
      </w:r>
      <w:r>
        <w:rPr>
          <w:rFonts w:hint="eastAsia" w:ascii="仿宋_GB2312" w:hAnsi="仿宋_GB2312" w:eastAsia="仿宋_GB2312" w:cs="仿宋_GB2312"/>
          <w:bCs/>
          <w:color w:val="000000"/>
          <w:sz w:val="32"/>
          <w:szCs w:val="32"/>
        </w:rPr>
        <w:t>第一中标候选人</w:t>
      </w:r>
      <w:r>
        <w:rPr>
          <w:rFonts w:hint="eastAsia" w:ascii="仿宋_GB2312" w:hAnsi="仿宋_GB2312" w:eastAsia="仿宋_GB2312" w:cs="仿宋_GB2312"/>
          <w:bCs/>
          <w:color w:val="000000"/>
          <w:sz w:val="32"/>
          <w:szCs w:val="32"/>
          <w:lang w:eastAsia="zh-CN"/>
        </w:rPr>
        <w:t>并</w:t>
      </w:r>
      <w:r>
        <w:rPr>
          <w:rFonts w:hint="eastAsia" w:ascii="仿宋_GB2312" w:hAnsi="仿宋_GB2312" w:eastAsia="仿宋_GB2312" w:cs="仿宋_GB2312"/>
          <w:bCs/>
          <w:color w:val="000000"/>
          <w:sz w:val="32"/>
          <w:szCs w:val="32"/>
        </w:rPr>
        <w:t>于201</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16</w:t>
      </w:r>
      <w:r>
        <w:rPr>
          <w:rFonts w:hint="eastAsia" w:ascii="仿宋_GB2312" w:hAnsi="仿宋_GB2312" w:eastAsia="仿宋_GB2312" w:cs="仿宋_GB2312"/>
          <w:bCs/>
          <w:color w:val="000000"/>
          <w:sz w:val="32"/>
          <w:szCs w:val="32"/>
        </w:rPr>
        <w:t>日至201</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18</w:t>
      </w:r>
      <w:r>
        <w:rPr>
          <w:rFonts w:hint="eastAsia" w:ascii="仿宋_GB2312" w:hAnsi="仿宋_GB2312" w:eastAsia="仿宋_GB2312" w:cs="仿宋_GB2312"/>
          <w:bCs/>
          <w:color w:val="000000"/>
          <w:sz w:val="32"/>
          <w:szCs w:val="32"/>
        </w:rPr>
        <w:t>日在《四川省公共资源交易信息网》、《绵阳市公共资源交易信息网》发布了中标候选人公示，公示期间均无异议。</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000000"/>
          <w:sz w:val="32"/>
          <w:szCs w:val="32"/>
        </w:rPr>
        <w:t>根据《中华人民共和国招标投标法实施条例》第五十五条“国有资金占控股或者主导地位的依法必须进行招标的项目，招标人应当确定排名第一的中标候选人为中标人”，本项目征得招标人同意拟从排名第一的中标候选人中随机</w:t>
      </w:r>
      <w:r>
        <w:rPr>
          <w:rFonts w:hint="eastAsia" w:ascii="仿宋_GB2312" w:hAnsi="仿宋_GB2312" w:eastAsia="仿宋_GB2312" w:cs="仿宋_GB2312"/>
          <w:bCs/>
          <w:color w:val="000000"/>
          <w:sz w:val="32"/>
          <w:szCs w:val="32"/>
          <w:lang w:eastAsia="zh-CN"/>
        </w:rPr>
        <w:t>抽</w:t>
      </w:r>
      <w:r>
        <w:rPr>
          <w:rFonts w:hint="eastAsia" w:ascii="仿宋_GB2312" w:hAnsi="仿宋_GB2312" w:eastAsia="仿宋_GB2312" w:cs="仿宋_GB2312"/>
          <w:bCs/>
          <w:color w:val="000000"/>
          <w:sz w:val="32"/>
          <w:szCs w:val="32"/>
        </w:rPr>
        <w:t>取</w:t>
      </w:r>
      <w:r>
        <w:rPr>
          <w:rFonts w:hint="eastAsia" w:ascii="仿宋_GB2312" w:hAnsi="仿宋_GB2312" w:eastAsia="仿宋_GB2312" w:cs="仿宋_GB2312"/>
          <w:bCs/>
          <w:color w:val="000000"/>
          <w:sz w:val="32"/>
          <w:szCs w:val="32"/>
          <w:lang w:eastAsia="zh-CN"/>
        </w:rPr>
        <w:t>三</w:t>
      </w:r>
      <w:r>
        <w:rPr>
          <w:rFonts w:hint="eastAsia" w:ascii="仿宋_GB2312" w:hAnsi="仿宋_GB2312" w:eastAsia="仿宋_GB2312" w:cs="仿宋_GB2312"/>
          <w:bCs/>
          <w:color w:val="000000"/>
          <w:sz w:val="32"/>
          <w:szCs w:val="32"/>
        </w:rPr>
        <w:t>家单位作为中标</w:t>
      </w:r>
      <w:r>
        <w:rPr>
          <w:rFonts w:hint="eastAsia" w:ascii="仿宋_GB2312" w:hAnsi="仿宋_GB2312" w:eastAsia="仿宋_GB2312" w:cs="仿宋_GB2312"/>
          <w:bCs/>
          <w:color w:val="000000"/>
          <w:sz w:val="32"/>
          <w:szCs w:val="32"/>
          <w:lang w:eastAsia="zh-CN"/>
        </w:rPr>
        <w:t>候选人，并在三家单位中</w:t>
      </w:r>
      <w:r>
        <w:rPr>
          <w:rFonts w:hint="eastAsia" w:ascii="仿宋_GB2312" w:hAnsi="仿宋_GB2312" w:eastAsia="仿宋_GB2312" w:cs="仿宋_GB2312"/>
          <w:sz w:val="32"/>
          <w:szCs w:val="32"/>
        </w:rPr>
        <w:t>确定排名第一的中标候选人为中标人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请贵单位</w:t>
      </w:r>
      <w:r>
        <w:rPr>
          <w:rFonts w:hint="eastAsia" w:ascii="仿宋_GB2312" w:hAnsi="仿宋_GB2312" w:eastAsia="仿宋_GB2312" w:cs="仿宋_GB2312"/>
          <w:bCs/>
          <w:color w:val="000000"/>
          <w:sz w:val="32"/>
          <w:szCs w:val="32"/>
        </w:rPr>
        <w:t>派出参加抽签代表仅限一人</w:t>
      </w:r>
      <w:r>
        <w:rPr>
          <w:rFonts w:hint="eastAsia" w:ascii="仿宋_GB2312" w:hAnsi="仿宋_GB2312" w:eastAsia="仿宋_GB2312" w:cs="仿宋_GB2312"/>
          <w:bCs/>
          <w:color w:val="000000"/>
          <w:sz w:val="32"/>
          <w:szCs w:val="32"/>
          <w:lang w:eastAsia="zh-CN"/>
        </w:rPr>
        <w:t>，于</w:t>
      </w:r>
      <w:r>
        <w:rPr>
          <w:rFonts w:hint="eastAsia" w:ascii="仿宋_GB2312" w:hAnsi="仿宋_GB2312" w:eastAsia="仿宋_GB2312" w:cs="仿宋_GB2312"/>
          <w:bCs/>
          <w:color w:val="000000"/>
          <w:sz w:val="32"/>
          <w:szCs w:val="32"/>
          <w:lang w:val="en-US" w:eastAsia="zh-CN"/>
        </w:rPr>
        <w:t>2018年4月23日上午9时30分在</w:t>
      </w:r>
      <w:r>
        <w:rPr>
          <w:rFonts w:hint="eastAsia" w:ascii="仿宋_GB2312" w:hAnsi="仿宋_GB2312" w:eastAsia="仿宋_GB2312" w:cs="仿宋_GB2312"/>
          <w:bCs/>
          <w:color w:val="000000"/>
          <w:sz w:val="32"/>
          <w:szCs w:val="32"/>
          <w:lang w:eastAsia="zh-CN"/>
        </w:rPr>
        <w:t>绵阳市涪城区公共资源交易中心</w:t>
      </w:r>
      <w:r>
        <w:rPr>
          <w:rFonts w:hint="eastAsia" w:ascii="仿宋_GB2312" w:hAnsi="仿宋_GB2312" w:eastAsia="仿宋_GB2312" w:cs="仿宋_GB2312"/>
          <w:sz w:val="32"/>
          <w:szCs w:val="32"/>
        </w:rPr>
        <w:t>（高平路2号）</w:t>
      </w:r>
      <w:r>
        <w:rPr>
          <w:rFonts w:hint="eastAsia" w:ascii="仿宋_GB2312" w:hAnsi="仿宋_GB2312" w:eastAsia="仿宋_GB2312" w:cs="仿宋_GB2312"/>
          <w:bCs/>
          <w:color w:val="000000"/>
          <w:sz w:val="32"/>
          <w:szCs w:val="32"/>
          <w:lang w:val="en-US" w:eastAsia="zh-CN"/>
        </w:rPr>
        <w:t>4楼开标室</w:t>
      </w:r>
      <w:r>
        <w:rPr>
          <w:rFonts w:hint="eastAsia" w:ascii="仿宋_GB2312" w:hAnsi="仿宋_GB2312" w:eastAsia="仿宋_GB2312" w:cs="仿宋_GB2312"/>
          <w:bCs/>
          <w:color w:val="000000"/>
          <w:sz w:val="32"/>
          <w:szCs w:val="32"/>
          <w:lang w:eastAsia="zh-CN"/>
        </w:rPr>
        <w:t>参加中标人随机抽取，</w:t>
      </w:r>
      <w:r>
        <w:rPr>
          <w:rFonts w:hint="eastAsia" w:ascii="仿宋_GB2312" w:hAnsi="仿宋_GB2312" w:eastAsia="仿宋_GB2312" w:cs="仿宋_GB2312"/>
          <w:bCs/>
          <w:color w:val="000000"/>
          <w:sz w:val="32"/>
          <w:szCs w:val="32"/>
        </w:rPr>
        <w:t>参加抽签的人员应携带以下证件资料由招标人代表及监管部门在抽签前进行核验</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320" w:firstLineChars="1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（一）本人身份证原件；（留存加盖鲜章的复印件）</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320" w:firstLineChars="1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（二）授权委托书（留存原件）或法定代表人身份证明原件；（留存加盖鲜章的复印件）</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320" w:firstLineChars="1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（三）营业执照副本原件。（留存加盖鲜章的复印件）</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320" w:firstLineChars="1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（四）承诺函（留存原件）</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320" w:firstLineChars="1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五</w:t>
      </w:r>
      <w:r>
        <w:rPr>
          <w:rFonts w:hint="eastAsia" w:ascii="仿宋_GB2312" w:hAnsi="仿宋_GB2312" w:eastAsia="仿宋_GB2312" w:cs="仿宋_GB2312"/>
          <w:bCs/>
          <w:color w:val="000000"/>
          <w:sz w:val="32"/>
          <w:szCs w:val="32"/>
        </w:rPr>
        <w:t>）未提供以上相关资料、证件或不符合要求的投标单位视为自行弃权处理，不得参与抽签活动。</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特此公告。</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000000"/>
          <w:sz w:val="32"/>
          <w:szCs w:val="32"/>
          <w:lang w:val="en-US" w:eastAsia="zh-CN"/>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1.青义镇污水管网完善</w:t>
      </w:r>
      <w:r>
        <w:rPr>
          <w:rFonts w:hint="eastAsia" w:ascii="仿宋_GB2312" w:hAnsi="仿宋_GB2312" w:eastAsia="仿宋_GB2312" w:cs="仿宋_GB2312"/>
          <w:sz w:val="32"/>
          <w:szCs w:val="32"/>
        </w:rPr>
        <w:t>项目确定中标单位抽签方案</w:t>
      </w:r>
    </w:p>
    <w:p>
      <w:pPr>
        <w:spacing w:line="60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2.承诺函</w:t>
      </w:r>
    </w:p>
    <w:p>
      <w:pPr>
        <w:spacing w:line="600" w:lineRule="exact"/>
        <w:rPr>
          <w:rFonts w:hint="eastAsia" w:ascii="仿宋_GB2312" w:hAnsi="仿宋_GB2312" w:eastAsia="仿宋_GB2312" w:cs="仿宋_GB2312"/>
          <w:sz w:val="32"/>
          <w:szCs w:val="32"/>
        </w:rPr>
      </w:pP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绵阳富城建筑工程有限公司</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2018年4月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spacing w:line="600" w:lineRule="exact"/>
        <w:rPr>
          <w:rFonts w:hint="eastAsia" w:ascii="仿宋_GB2312" w:hAnsi="仿宋_GB2312" w:eastAsia="仿宋_GB2312" w:cs="仿宋_GB2312"/>
          <w:bCs/>
          <w:color w:val="000000"/>
          <w:sz w:val="32"/>
          <w:szCs w:val="32"/>
        </w:rPr>
      </w:pPr>
    </w:p>
    <w:p>
      <w:pPr>
        <w:spacing w:line="600" w:lineRule="exact"/>
        <w:rPr>
          <w:rFonts w:hint="eastAsia" w:ascii="仿宋_GB2312" w:hAnsi="仿宋_GB2312" w:eastAsia="仿宋_GB2312" w:cs="仿宋_GB2312"/>
          <w:bCs/>
          <w:color w:val="000000"/>
          <w:sz w:val="32"/>
          <w:szCs w:val="32"/>
        </w:rPr>
      </w:pPr>
    </w:p>
    <w:p>
      <w:pPr>
        <w:spacing w:line="600" w:lineRule="exact"/>
        <w:rPr>
          <w:rFonts w:hint="eastAsia" w:ascii="仿宋_GB2312" w:hAnsi="仿宋_GB2312" w:eastAsia="仿宋_GB2312" w:cs="仿宋_GB2312"/>
          <w:bCs/>
          <w:color w:val="000000"/>
          <w:sz w:val="32"/>
          <w:szCs w:val="32"/>
        </w:rPr>
      </w:pPr>
    </w:p>
    <w:p>
      <w:pPr>
        <w:spacing w:line="600" w:lineRule="exact"/>
        <w:rPr>
          <w:rFonts w:hint="eastAsia" w:ascii="仿宋_GB2312" w:hAnsi="仿宋_GB2312" w:eastAsia="仿宋_GB2312" w:cs="仿宋_GB2312"/>
          <w:bCs/>
          <w:color w:val="000000"/>
          <w:sz w:val="32"/>
          <w:szCs w:val="32"/>
        </w:rPr>
      </w:pPr>
    </w:p>
    <w:p>
      <w:pPr>
        <w:spacing w:line="600" w:lineRule="exact"/>
        <w:rPr>
          <w:rFonts w:hint="eastAsia" w:ascii="仿宋_GB2312" w:hAnsi="仿宋_GB2312" w:eastAsia="仿宋_GB2312" w:cs="仿宋_GB2312"/>
          <w:bCs/>
          <w:color w:val="000000"/>
          <w:sz w:val="32"/>
          <w:szCs w:val="32"/>
        </w:rPr>
      </w:pPr>
    </w:p>
    <w:p>
      <w:pPr>
        <w:spacing w:line="600" w:lineRule="exact"/>
        <w:rPr>
          <w:rFonts w:hint="eastAsia" w:ascii="仿宋_GB2312" w:hAnsi="仿宋_GB2312" w:eastAsia="仿宋_GB2312" w:cs="仿宋_GB2312"/>
          <w:bCs/>
          <w:color w:val="000000"/>
          <w:sz w:val="32"/>
          <w:szCs w:val="32"/>
        </w:rPr>
      </w:pPr>
    </w:p>
    <w:p>
      <w:pPr>
        <w:spacing w:line="600" w:lineRule="exact"/>
        <w:rPr>
          <w:rFonts w:hint="eastAsia" w:ascii="仿宋_GB2312" w:hAnsi="仿宋_GB2312" w:eastAsia="仿宋_GB2312" w:cs="仿宋_GB2312"/>
          <w:bCs/>
          <w:color w:val="000000"/>
          <w:sz w:val="32"/>
          <w:szCs w:val="32"/>
        </w:rPr>
      </w:pPr>
    </w:p>
    <w:p>
      <w:pPr>
        <w:spacing w:line="60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w:t>
      </w:r>
    </w:p>
    <w:p>
      <w:pPr>
        <w:spacing w:line="600" w:lineRule="exact"/>
        <w:jc w:val="center"/>
        <w:rPr>
          <w:rFonts w:hint="eastAsia"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lang w:eastAsia="zh-CN"/>
        </w:rPr>
        <w:t>青义镇污水管网完善</w:t>
      </w:r>
      <w:r>
        <w:rPr>
          <w:rFonts w:hint="eastAsia" w:ascii="方正小标宋简体" w:hAnsi="宋体" w:eastAsia="方正小标宋简体" w:cs="宋体"/>
          <w:bCs/>
          <w:color w:val="000000"/>
          <w:sz w:val="44"/>
          <w:szCs w:val="44"/>
        </w:rPr>
        <w:t>项目确定中标单位</w:t>
      </w:r>
    </w:p>
    <w:p>
      <w:pPr>
        <w:spacing w:line="600" w:lineRule="exact"/>
        <w:jc w:val="center"/>
        <w:rPr>
          <w:rFonts w:hint="eastAsia"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抽签方案</w:t>
      </w:r>
    </w:p>
    <w:p>
      <w:pPr>
        <w:spacing w:line="600" w:lineRule="exact"/>
        <w:jc w:val="center"/>
        <w:rPr>
          <w:rFonts w:hint="eastAsia" w:ascii="方正小标宋简体" w:hAnsi="宋体" w:eastAsia="方正小标宋简体" w:cs="宋体"/>
          <w:bCs/>
          <w:color w:val="000000"/>
          <w:sz w:val="44"/>
          <w:szCs w:val="44"/>
        </w:rPr>
      </w:pPr>
    </w:p>
    <w:p>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请贵公司按照抽签方案要求于规定时间，到指定地点，参加中标单位抽签仪式。未按要求到场参加抽签仪式的投标人视为自行弃权。</w:t>
      </w:r>
    </w:p>
    <w:p>
      <w:pPr>
        <w:spacing w:line="27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本实施细则未尽事宜由招标人代表现场解读为准。</w:t>
      </w:r>
    </w:p>
    <w:p>
      <w:pPr>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一、抽签原则</w:t>
      </w:r>
      <w:r>
        <w:rPr>
          <w:rFonts w:hint="eastAsia" w:ascii="仿宋_GB2312" w:hAnsi="仿宋_GB2312" w:eastAsia="仿宋_GB2312" w:cs="仿宋_GB2312"/>
          <w:sz w:val="32"/>
          <w:szCs w:val="32"/>
        </w:rPr>
        <w:t>：</w:t>
      </w:r>
    </w:p>
    <w:p>
      <w:pPr>
        <w:spacing w:line="276" w:lineRule="auto"/>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经本项目中标公示为第一名的投标人，才能参加公开抽签。</w:t>
      </w:r>
    </w:p>
    <w:p>
      <w:pPr>
        <w:spacing w:line="276" w:lineRule="auto"/>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color w:val="auto"/>
          <w:sz w:val="32"/>
          <w:szCs w:val="32"/>
        </w:rPr>
        <w:t>本工程抽签中标的原则是：由</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代表在抽签会现场通过随机抽取的方式确定大号中标</w:t>
      </w:r>
      <w:r>
        <w:rPr>
          <w:rFonts w:hint="eastAsia" w:ascii="仿宋_GB2312" w:hAnsi="仿宋_GB2312" w:eastAsia="仿宋_GB2312" w:cs="仿宋_GB2312"/>
          <w:color w:val="auto"/>
          <w:sz w:val="32"/>
          <w:szCs w:val="32"/>
          <w:lang w:eastAsia="zh-CN"/>
        </w:rPr>
        <w:t>区间</w:t>
      </w:r>
      <w:r>
        <w:rPr>
          <w:rFonts w:hint="eastAsia" w:ascii="仿宋_GB2312" w:hAnsi="仿宋_GB2312" w:eastAsia="仿宋_GB2312" w:cs="仿宋_GB2312"/>
          <w:color w:val="auto"/>
          <w:sz w:val="32"/>
          <w:szCs w:val="32"/>
        </w:rPr>
        <w:t>或小号中标</w:t>
      </w:r>
      <w:r>
        <w:rPr>
          <w:rFonts w:hint="eastAsia" w:ascii="仿宋_GB2312" w:hAnsi="仿宋_GB2312" w:eastAsia="仿宋_GB2312" w:cs="仿宋_GB2312"/>
          <w:color w:val="auto"/>
          <w:sz w:val="32"/>
          <w:szCs w:val="32"/>
          <w:lang w:eastAsia="zh-CN"/>
        </w:rPr>
        <w:t>区间</w:t>
      </w:r>
      <w:r>
        <w:rPr>
          <w:rFonts w:hint="eastAsia" w:ascii="仿宋_GB2312" w:hAnsi="仿宋_GB2312" w:eastAsia="仿宋_GB2312" w:cs="仿宋_GB2312"/>
          <w:color w:val="auto"/>
          <w:sz w:val="32"/>
          <w:szCs w:val="32"/>
        </w:rPr>
        <w:t>；随机抽取的号码在1～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5号间的为小号中标并按号数由小到大</w:t>
      </w:r>
      <w:r>
        <w:rPr>
          <w:rFonts w:hint="eastAsia" w:ascii="仿宋_GB2312" w:hAnsi="仿宋_GB2312" w:eastAsia="仿宋_GB2312" w:cs="仿宋_GB2312"/>
          <w:sz w:val="32"/>
          <w:szCs w:val="32"/>
        </w:rPr>
        <w:t>依次排名作为本项目3家中标候选人；随机抽取的号码在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0号间的为大号中标并按号数由大到小依次排名作为本项目3家中标候选人。若抽签人抽出的最大（小）号有多家单位相同，则相同最大(小)号抽签人进行第二轮抽签并登记确认，直至抽出3家中标候选人为止。  </w:t>
      </w:r>
    </w:p>
    <w:p>
      <w:pPr>
        <w:spacing w:line="276" w:lineRule="auto"/>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招标人应当确定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pPr>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二、抽签地点：</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绵阳市涪城区公共资源交易中心</w:t>
      </w:r>
      <w:r>
        <w:rPr>
          <w:rFonts w:hint="eastAsia" w:ascii="仿宋_GB2312" w:hAnsi="仿宋_GB2312" w:eastAsia="仿宋_GB2312" w:cs="仿宋_GB2312"/>
          <w:sz w:val="32"/>
          <w:szCs w:val="32"/>
          <w:lang w:val="en-US" w:eastAsia="zh-CN"/>
        </w:rPr>
        <w:t>4楼开标室</w:t>
      </w:r>
      <w:r>
        <w:rPr>
          <w:rFonts w:hint="eastAsia" w:ascii="仿宋_GB2312" w:hAnsi="仿宋_GB2312" w:eastAsia="仿宋_GB2312" w:cs="仿宋_GB2312"/>
          <w:sz w:val="32"/>
          <w:szCs w:val="32"/>
        </w:rPr>
        <w:t>。（高平路2号）</w:t>
      </w:r>
    </w:p>
    <w:p>
      <w:pPr>
        <w:numPr>
          <w:ilvl w:val="0"/>
          <w:numId w:val="1"/>
        </w:numPr>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抽签时间：</w:t>
      </w:r>
    </w:p>
    <w:p>
      <w:pPr>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签到时间: 2018 年4月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val="en-US" w:eastAsia="zh-CN"/>
        </w:rPr>
        <w:t>30分至10点</w:t>
      </w:r>
      <w:r>
        <w:rPr>
          <w:rFonts w:hint="eastAsia" w:ascii="仿宋_GB2312" w:hAnsi="仿宋_GB2312" w:eastAsia="仿宋_GB2312" w:cs="仿宋_GB2312"/>
          <w:sz w:val="32"/>
          <w:szCs w:val="32"/>
        </w:rPr>
        <w:t>。</w:t>
      </w:r>
    </w:p>
    <w:p>
      <w:pPr>
        <w:spacing w:line="60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抽签开始时间: 2018年4月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点。</w:t>
      </w:r>
    </w:p>
    <w:p>
      <w:pPr>
        <w:spacing w:line="60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未按规定签到时间签到的投标人视为自行弃权。</w:t>
      </w:r>
    </w:p>
    <w:p>
      <w:pPr>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四、抽签参加人员：</w:t>
      </w:r>
    </w:p>
    <w:p>
      <w:pPr>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投标人派出参加抽签代表仅限一人，必须是投标单位的法定代表人或被委托人。参加抽签的人员应携带以下证件资料由招标人代表及监管部门在抽签前进行核验：</w:t>
      </w:r>
    </w:p>
    <w:p>
      <w:pPr>
        <w:spacing w:line="276" w:lineRule="auto"/>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本人身份证原件；（留存加盖鲜章的复印件）</w:t>
      </w:r>
    </w:p>
    <w:p>
      <w:pPr>
        <w:spacing w:line="276" w:lineRule="auto"/>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授权委托书（留存原件）或法定代表人身份证明原件；（留存加盖鲜章的复印件）</w:t>
      </w:r>
    </w:p>
    <w:p>
      <w:pPr>
        <w:spacing w:line="60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营业执照副本原件。（留存加盖鲜章的复印件）</w:t>
      </w:r>
    </w:p>
    <w:p>
      <w:pPr>
        <w:spacing w:line="600" w:lineRule="exact"/>
        <w:ind w:firstLine="321" w:firstLineChars="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承诺函（留存原件）</w:t>
      </w:r>
    </w:p>
    <w:p>
      <w:pPr>
        <w:spacing w:line="60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未提供以上相关资料、证件</w:t>
      </w:r>
      <w:r>
        <w:rPr>
          <w:rFonts w:hint="eastAsia" w:ascii="仿宋_GB2312" w:hAnsi="仿宋_GB2312" w:eastAsia="仿宋_GB2312" w:cs="仿宋_GB2312"/>
          <w:sz w:val="32"/>
          <w:szCs w:val="32"/>
        </w:rPr>
        <w:t>或不符合要求的投标单位视为自行弃权处理，不得参与抽签活动。</w:t>
      </w:r>
    </w:p>
    <w:p>
      <w:pPr>
        <w:spacing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五、抽签程序：</w:t>
      </w:r>
    </w:p>
    <w:p>
      <w:pPr>
        <w:spacing w:line="276" w:lineRule="auto"/>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宣读中标规则。招标代理工作人员根据抽签中标的原则宣布抽签顺序及中标候选人确定方法：</w:t>
      </w:r>
    </w:p>
    <w:p>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1、如确定由最小号中标作为抽签中标原则的，在已通过审查的所有投标人中，按抽签顺序由投标人从先到后进行抽签（均从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个号签中抽取，投标人抽出号签后确认无误并放回箱内），抽出最小号的投标人为排名第一中标候选人，剩下号码由从小到大依次排名，确定第二、第三中标候选人。如有两个以上投标人抽出相同最小号的，则由抽取的最小号投标人进行第二轮抽签，抽签顺序按第一轮先后顺序，抽出的号码按从小到大依次排名确定投标人名次，直至抽出3家中标候选人为止。</w:t>
      </w:r>
    </w:p>
    <w:p>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2、如确定由最大号中标作为抽签中标原则的，在已通过审查的所有投标人中，按抽签顺序从先到后进行抽签（均从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个号签中抽取，投标人抽出号签后签字确认无误并放回箱内）,抽出最大号的投标人为排名第一中标候选人，剩下号码由从大到小依次排名，确定第二、第三中标候选人。如有两个以上投标人抽出相同最大号的，则由抽取的最大号投标人进行第二轮抽签，抽签顺序按第一轮先后顺序，抽出的号码按从大到小依次排名确定投标人名次，直至抽出3家中标候选人为止。</w:t>
      </w:r>
    </w:p>
    <w:p>
      <w:pPr>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抽签设备。招标人提供的抽签设备（乒乓球及抽签箱），经项目主管部门监督人员、参加本项目抽签的投标人代表确认同意使用后使用。</w:t>
      </w:r>
    </w:p>
    <w:p>
      <w:pPr>
        <w:spacing w:line="276" w:lineRule="auto"/>
        <w:ind w:firstLine="321" w:firstLineChars="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color w:val="auto"/>
          <w:sz w:val="32"/>
          <w:szCs w:val="32"/>
          <w:lang w:eastAsia="zh-CN"/>
        </w:rPr>
        <w:t>随机抽取大小号。由投标人现场随机指定</w:t>
      </w:r>
      <w:r>
        <w:rPr>
          <w:rFonts w:hint="eastAsia" w:ascii="仿宋_GB2312" w:hAnsi="仿宋_GB2312" w:eastAsia="仿宋_GB2312" w:cs="仿宋_GB2312"/>
          <w:color w:val="auto"/>
          <w:sz w:val="32"/>
          <w:szCs w:val="32"/>
          <w:lang w:val="en-US" w:eastAsia="zh-CN"/>
        </w:rPr>
        <w:t>1到27号码中任一号码（该号码在随机抽取顺序签中产生）作为投标人代表，投标人代表</w:t>
      </w:r>
      <w:r>
        <w:rPr>
          <w:rFonts w:hint="eastAsia" w:ascii="仿宋_GB2312" w:hAnsi="仿宋_GB2312" w:eastAsia="仿宋_GB2312" w:cs="仿宋_GB2312"/>
          <w:color w:val="auto"/>
          <w:sz w:val="32"/>
          <w:szCs w:val="32"/>
        </w:rPr>
        <w:t>随机抽取</w:t>
      </w:r>
      <w:r>
        <w:rPr>
          <w:rFonts w:hint="eastAsia" w:ascii="仿宋_GB2312" w:hAnsi="仿宋_GB2312" w:eastAsia="仿宋_GB2312" w:cs="仿宋_GB2312"/>
          <w:color w:val="auto"/>
          <w:sz w:val="32"/>
          <w:szCs w:val="32"/>
          <w:lang w:eastAsia="zh-CN"/>
        </w:rPr>
        <w:t>一个号码</w:t>
      </w:r>
      <w:r>
        <w:rPr>
          <w:rFonts w:hint="eastAsia" w:ascii="仿宋_GB2312" w:hAnsi="仿宋_GB2312" w:eastAsia="仿宋_GB2312" w:cs="仿宋_GB2312"/>
          <w:color w:val="auto"/>
          <w:sz w:val="32"/>
          <w:szCs w:val="32"/>
        </w:rPr>
        <w:t>确定大号中标</w:t>
      </w:r>
      <w:r>
        <w:rPr>
          <w:rFonts w:hint="eastAsia" w:ascii="仿宋_GB2312" w:hAnsi="仿宋_GB2312" w:eastAsia="仿宋_GB2312" w:cs="仿宋_GB2312"/>
          <w:color w:val="auto"/>
          <w:sz w:val="32"/>
          <w:szCs w:val="32"/>
          <w:lang w:eastAsia="zh-CN"/>
        </w:rPr>
        <w:t>区间</w:t>
      </w:r>
      <w:r>
        <w:rPr>
          <w:rFonts w:hint="eastAsia" w:ascii="仿宋_GB2312" w:hAnsi="仿宋_GB2312" w:eastAsia="仿宋_GB2312" w:cs="仿宋_GB2312"/>
          <w:color w:val="auto"/>
          <w:sz w:val="32"/>
          <w:szCs w:val="32"/>
        </w:rPr>
        <w:t>或小号中标</w:t>
      </w:r>
      <w:r>
        <w:rPr>
          <w:rFonts w:hint="eastAsia" w:ascii="仿宋_GB2312" w:hAnsi="仿宋_GB2312" w:eastAsia="仿宋_GB2312" w:cs="仿宋_GB2312"/>
          <w:color w:val="auto"/>
          <w:sz w:val="32"/>
          <w:szCs w:val="32"/>
          <w:lang w:eastAsia="zh-CN"/>
        </w:rPr>
        <w:t>区间。</w:t>
      </w:r>
    </w:p>
    <w:p>
      <w:pPr>
        <w:spacing w:line="276" w:lineRule="auto"/>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确认抽签顺序。按招标公示顺序，依序查验投标人派出参加抽签的代表的身份证明，符合要求的抽签条件的竞标人在抽签箱中抓取顺序签，并签署《抽签顺序确认表》。本次抽签为顺序签。在确认投标人抽签顺序时，若投标人派出参加抽签的代表经招标人三次呼叫不到场者，视为自动放弃本次抽签资格。招标人当场宣布该投标人放弃抽签资格后，依序对下一名投标人进行本步骤。</w:t>
      </w:r>
    </w:p>
    <w:p>
      <w:pPr>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依序实施中标抽签。根据顺序签抽签，招标人对该投标人的抽签结果（即各投标人抽出的签号）予以宣布并记录，投标人签署《抽签确认表》。若投标人派出参加抽签的代表经招标人三次呼叫不到场者，视为自动放弃本次抽签资格。招标人当场宣布该投标人放弃抽签资格后，依序对下一名投标人进行本步骤。</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宣布抽签结果。完成上述抽签程序后，招标代理工作人员根据抽签结果宣布中标候选人成为中标人。</w:t>
      </w:r>
    </w:p>
    <w:p>
      <w:pPr>
        <w:spacing w:line="600" w:lineRule="exact"/>
        <w:rPr>
          <w:rFonts w:hint="eastAsia" w:ascii="仿宋_GB2312" w:hAnsi="仿宋_GB2312" w:eastAsia="仿宋_GB2312" w:cs="仿宋_GB2312"/>
          <w:sz w:val="32"/>
          <w:szCs w:val="32"/>
        </w:rPr>
      </w:pPr>
    </w:p>
    <w:p>
      <w:pPr>
        <w:ind w:firstLine="3520" w:firstLineChars="800"/>
        <w:jc w:val="both"/>
        <w:rPr>
          <w:rFonts w:hint="eastAsia" w:ascii="方正小标宋简体" w:hAnsi="方正小标宋简体" w:eastAsia="方正小标宋简体" w:cs="方正小标宋简体"/>
          <w:color w:val="FF0000"/>
          <w:sz w:val="44"/>
          <w:szCs w:val="44"/>
          <w:lang w:val="en-US" w:eastAsia="zh-CN"/>
        </w:rPr>
      </w:pPr>
    </w:p>
    <w:p>
      <w:pPr>
        <w:ind w:firstLine="3520" w:firstLineChars="800"/>
        <w:jc w:val="both"/>
        <w:rPr>
          <w:rFonts w:hint="eastAsia" w:ascii="方正小标宋简体" w:hAnsi="方正小标宋简体" w:eastAsia="方正小标宋简体" w:cs="方正小标宋简体"/>
          <w:color w:val="FF0000"/>
          <w:sz w:val="44"/>
          <w:szCs w:val="44"/>
          <w:lang w:val="en-US" w:eastAsia="zh-CN"/>
        </w:rPr>
      </w:pPr>
    </w:p>
    <w:p>
      <w:pPr>
        <w:ind w:firstLine="3520" w:firstLineChars="800"/>
        <w:jc w:val="both"/>
        <w:rPr>
          <w:rFonts w:hint="eastAsia" w:ascii="方正小标宋简体" w:hAnsi="方正小标宋简体" w:eastAsia="方正小标宋简体" w:cs="方正小标宋简体"/>
          <w:color w:val="FF0000"/>
          <w:sz w:val="44"/>
          <w:szCs w:val="44"/>
          <w:lang w:val="en-US" w:eastAsia="zh-CN"/>
        </w:rPr>
      </w:pPr>
    </w:p>
    <w:p>
      <w:pPr>
        <w:ind w:firstLine="3520" w:firstLineChars="800"/>
        <w:jc w:val="both"/>
        <w:rPr>
          <w:rFonts w:hint="eastAsia" w:ascii="方正小标宋简体" w:hAnsi="方正小标宋简体" w:eastAsia="方正小标宋简体" w:cs="方正小标宋简体"/>
          <w:color w:val="FF0000"/>
          <w:sz w:val="44"/>
          <w:szCs w:val="44"/>
          <w:lang w:val="en-US" w:eastAsia="zh-CN"/>
        </w:rPr>
      </w:pPr>
    </w:p>
    <w:p>
      <w:pPr>
        <w:ind w:firstLine="3520" w:firstLineChars="800"/>
        <w:jc w:val="both"/>
        <w:rPr>
          <w:rFonts w:hint="eastAsia" w:ascii="方正小标宋简体" w:hAnsi="方正小标宋简体" w:eastAsia="方正小标宋简体" w:cs="方正小标宋简体"/>
          <w:color w:val="FF0000"/>
          <w:sz w:val="44"/>
          <w:szCs w:val="44"/>
          <w:lang w:val="en-US" w:eastAsia="zh-CN"/>
        </w:rPr>
      </w:pPr>
    </w:p>
    <w:p>
      <w:pPr>
        <w:jc w:val="both"/>
        <w:rPr>
          <w:rFonts w:hint="eastAsia" w:ascii="方正小标宋简体" w:hAnsi="方正小标宋简体" w:eastAsia="方正小标宋简体" w:cs="方正小标宋简体"/>
          <w:color w:val="FF0000"/>
          <w:sz w:val="44"/>
          <w:szCs w:val="44"/>
          <w:lang w:val="en-US"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ind w:firstLine="3520" w:firstLineChars="800"/>
        <w:jc w:val="both"/>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承诺函</w:t>
      </w:r>
    </w:p>
    <w:p>
      <w:pPr>
        <w:ind w:firstLine="2560" w:firstLineChars="800"/>
        <w:jc w:val="both"/>
        <w:rPr>
          <w:rFonts w:hint="eastAsia" w:ascii="方正小标宋简体" w:hAnsi="方正小标宋简体" w:eastAsia="方正小标宋简体" w:cs="方正小标宋简体"/>
          <w:color w:val="auto"/>
          <w:sz w:val="32"/>
          <w:szCs w:val="32"/>
          <w:lang w:val="en-US" w:eastAsia="zh-CN"/>
        </w:rPr>
      </w:pPr>
    </w:p>
    <w:p>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致：</w:t>
      </w:r>
      <w:r>
        <w:rPr>
          <w:rFonts w:hint="eastAsia" w:ascii="仿宋_GB2312" w:hAnsi="仿宋_GB2312" w:eastAsia="仿宋_GB2312" w:cs="仿宋_GB2312"/>
          <w:color w:val="auto"/>
          <w:sz w:val="32"/>
          <w:szCs w:val="32"/>
          <w:u w:val="single"/>
          <w:lang w:val="en-US" w:eastAsia="zh-CN"/>
        </w:rPr>
        <w:t>绵阳富城建筑工程有限公司</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我单位完全了解贵单位委托招标代理机构进行的青义镇污水管网完善项目确定中标单位抽签方案，同意采用现场抽签方式确定中标人排序，同意贵单位根据中标抽签排序号确定中标排名第一的中标候选人为中标人，无论是否中标，我单位均予以承认并承担结果。</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特此承诺。</w:t>
      </w:r>
    </w:p>
    <w:p>
      <w:pPr>
        <w:ind w:firstLine="640"/>
        <w:rPr>
          <w:rFonts w:hint="eastAsia" w:ascii="仿宋_GB2312" w:hAnsi="仿宋_GB2312" w:eastAsia="仿宋_GB2312" w:cs="仿宋_GB2312"/>
          <w:color w:val="auto"/>
          <w:sz w:val="32"/>
          <w:szCs w:val="32"/>
          <w:u w:val="none"/>
          <w:lang w:val="en-US" w:eastAsia="zh-CN"/>
        </w:rPr>
      </w:pPr>
    </w:p>
    <w:p>
      <w:pPr>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FF0000"/>
          <w:sz w:val="32"/>
          <w:szCs w:val="32"/>
          <w:u w:val="none"/>
          <w:lang w:val="en-US" w:eastAsia="zh-CN"/>
        </w:rPr>
        <w:t>法定代表人（签字）：</w:t>
      </w:r>
    </w:p>
    <w:p>
      <w:pP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FF0000"/>
          <w:sz w:val="32"/>
          <w:szCs w:val="32"/>
          <w:u w:val="none"/>
          <w:lang w:val="en-US" w:eastAsia="zh-CN"/>
        </w:rPr>
        <w:t xml:space="preserve">                             </w:t>
      </w:r>
      <w:bookmarkStart w:id="0" w:name="_GoBack"/>
      <w:bookmarkEnd w:id="0"/>
      <w:r>
        <w:rPr>
          <w:rFonts w:hint="eastAsia" w:ascii="仿宋_GB2312" w:hAnsi="仿宋_GB2312" w:eastAsia="仿宋_GB2312" w:cs="仿宋_GB2312"/>
          <w:color w:val="FF0000"/>
          <w:sz w:val="32"/>
          <w:szCs w:val="32"/>
          <w:u w:val="none"/>
          <w:lang w:val="en-US" w:eastAsia="zh-CN"/>
        </w:rPr>
        <w:t>单位（盖章）：</w:t>
      </w:r>
      <w:r>
        <w:rPr>
          <w:rFonts w:hint="eastAsia" w:ascii="仿宋_GB2312" w:hAnsi="仿宋_GB2312" w:eastAsia="仿宋_GB2312" w:cs="仿宋_GB2312"/>
          <w:color w:val="auto"/>
          <w:sz w:val="32"/>
          <w:szCs w:val="32"/>
          <w:u w:val="none"/>
          <w:lang w:val="en-US" w:eastAsia="zh-CN"/>
        </w:rPr>
        <w:t xml:space="preserve">             </w:t>
      </w:r>
    </w:p>
    <w:p>
      <w:pP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ind w:firstLine="4800" w:firstLineChars="15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年    月     日</w:t>
      </w:r>
    </w:p>
    <w:p>
      <w:pPr>
        <w:spacing w:line="600" w:lineRule="exact"/>
        <w:rPr>
          <w:rFonts w:hint="eastAsia" w:ascii="仿宋_GB2312" w:hAnsi="仿宋_GB2312" w:eastAsia="仿宋_GB2312" w:cs="仿宋_GB2312"/>
          <w:sz w:val="32"/>
          <w:szCs w:val="32"/>
        </w:rPr>
      </w:pPr>
    </w:p>
    <w:p>
      <w:pPr>
        <w:ind w:firstLine="3520" w:firstLineChars="800"/>
        <w:jc w:val="both"/>
        <w:rPr>
          <w:rFonts w:hint="eastAsia" w:ascii="方正小标宋简体" w:hAnsi="方正小标宋简体" w:eastAsia="方正小标宋简体" w:cs="方正小标宋简体"/>
          <w:color w:val="FF0000"/>
          <w:sz w:val="44"/>
          <w:szCs w:val="44"/>
          <w:lang w:val="en-US" w:eastAsia="zh-CN"/>
        </w:rPr>
      </w:pPr>
    </w:p>
    <w:p>
      <w:pPr>
        <w:ind w:firstLine="3520" w:firstLineChars="800"/>
        <w:jc w:val="both"/>
        <w:rPr>
          <w:rFonts w:hint="eastAsia" w:ascii="方正小标宋简体" w:hAnsi="方正小标宋简体" w:eastAsia="方正小标宋简体" w:cs="方正小标宋简体"/>
          <w:color w:val="FF0000"/>
          <w:sz w:val="44"/>
          <w:szCs w:val="44"/>
          <w:lang w:val="en-US" w:eastAsia="zh-CN"/>
        </w:rPr>
      </w:pPr>
    </w:p>
    <w:p>
      <w:pPr>
        <w:keepNext w:val="0"/>
        <w:keepLines w:val="0"/>
        <w:pageBreakBefore w:val="0"/>
        <w:kinsoku/>
        <w:wordWrap/>
        <w:overflowPunct/>
        <w:topLinePunct w:val="0"/>
        <w:autoSpaceDE/>
        <w:autoSpaceDN/>
        <w:bidi w:val="0"/>
        <w:spacing w:after="0" w:line="600" w:lineRule="exact"/>
        <w:ind w:left="0" w:leftChars="0" w:right="0" w:rightChars="0"/>
        <w:jc w:val="both"/>
        <w:textAlignment w:val="auto"/>
        <w:outlineLvl w:val="9"/>
        <w:rPr>
          <w:rFonts w:hint="eastAsia" w:ascii="仿宋_GB2312" w:hAnsi="仿宋_GB2312" w:eastAsia="仿宋_GB2312" w:cs="仿宋_GB2312"/>
          <w:color w:val="auto"/>
          <w:sz w:val="32"/>
          <w:szCs w:val="32"/>
          <w:u w:val="none"/>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B81BBF"/>
    <w:multiLevelType w:val="singleLevel"/>
    <w:tmpl w:val="EAB81B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121E6"/>
    <w:rsid w:val="04821CDB"/>
    <w:rsid w:val="10F91ED0"/>
    <w:rsid w:val="23C309F2"/>
    <w:rsid w:val="33CC5162"/>
    <w:rsid w:val="3793594E"/>
    <w:rsid w:val="3F9225EF"/>
    <w:rsid w:val="43BC50C0"/>
    <w:rsid w:val="47F121E6"/>
    <w:rsid w:val="6CEA0D5A"/>
    <w:rsid w:val="7F271D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2018-04-03T02:25:00Z</dcterms:created>
  <dc:creator>Achilles＇ Heel</dc:creator>
  <cp:lastModifiedBy>Achilles＇ Heel</cp:lastModifiedBy>
  <cp:lastPrinted>2018-04-03T02:46:00Z</cp:lastPrinted>
  <dcterms:modified xsi:type="dcterms:W3CDTF">2018-04-17T08:34:54Z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